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FA1" w:rsidRPr="00214FA1" w:rsidRDefault="00214FA1" w:rsidP="00214FA1">
      <w:pPr>
        <w:autoSpaceDE w:val="0"/>
        <w:autoSpaceDN w:val="0"/>
        <w:spacing w:beforeLines="50" w:before="120" w:afterLines="50" w:after="120" w:line="240" w:lineRule="auto"/>
        <w:ind w:leftChars="200" w:left="444" w:rightChars="200" w:right="444" w:firstLineChars="0" w:firstLine="0"/>
        <w:jc w:val="center"/>
        <w:rPr>
          <w:rFonts w:ascii="華康粗黑體" w:eastAsia="華康粗黑體" w:cs="TT46043o00" w:hint="eastAsia"/>
          <w:color w:val="FF0000"/>
          <w:spacing w:val="0"/>
          <w:kern w:val="0"/>
          <w:sz w:val="30"/>
          <w:szCs w:val="30"/>
        </w:rPr>
      </w:pPr>
      <w:r w:rsidRPr="00214FA1">
        <w:rPr>
          <w:rFonts w:ascii="華康粗黑體" w:eastAsia="華康粗黑體" w:cs="TT46043o00" w:hint="eastAsia"/>
          <w:color w:val="FF0000"/>
          <w:spacing w:val="0"/>
          <w:kern w:val="0"/>
          <w:sz w:val="30"/>
          <w:szCs w:val="30"/>
        </w:rPr>
        <w:t>微積分之父──</w:t>
      </w:r>
      <w:bookmarkStart w:id="0" w:name="_GoBack"/>
      <w:r w:rsidRPr="00214FA1">
        <w:rPr>
          <w:rFonts w:ascii="華康粗黑體" w:eastAsia="華康粗黑體" w:cs="TT46043o00" w:hint="eastAsia"/>
          <w:color w:val="FF0000"/>
          <w:spacing w:val="0"/>
          <w:kern w:val="0"/>
          <w:sz w:val="30"/>
          <w:szCs w:val="30"/>
        </w:rPr>
        <w:t>萊布尼茲</w:t>
      </w:r>
      <w:bookmarkEnd w:id="0"/>
    </w:p>
    <w:p w:rsidR="00214FA1" w:rsidRPr="007C34F3" w:rsidRDefault="00214FA1" w:rsidP="00214FA1">
      <w:pPr>
        <w:pStyle w:val="a5"/>
        <w:ind w:left="444" w:rightChars="81" w:right="180" w:firstLine="444"/>
      </w:pPr>
      <w:r w:rsidRPr="007C34F3">
        <w:t>談到微分學，一定要認識一位橫跨多領域的天才人物</w:t>
      </w:r>
      <w:r w:rsidRPr="002F358E">
        <w:rPr>
          <w:rFonts w:ascii="華康細明體" w:eastAsia="華康細明體" w:hint="eastAsia"/>
          <w:spacing w:val="-14"/>
        </w:rPr>
        <w:t>──</w:t>
      </w:r>
      <w:r w:rsidRPr="007C34F3">
        <w:t>萊布尼茲（</w:t>
      </w:r>
      <w:r w:rsidRPr="007C34F3">
        <w:t>Leibniz, GottfriedWilhelm, 1646-1716</w:t>
      </w:r>
      <w:r w:rsidRPr="007C34F3">
        <w:t>）。</w:t>
      </w:r>
    </w:p>
    <w:p w:rsidR="00214FA1" w:rsidRDefault="00214FA1" w:rsidP="00214FA1">
      <w:pPr>
        <w:pStyle w:val="a5"/>
        <w:ind w:left="444" w:rightChars="40" w:right="89" w:firstLine="444"/>
      </w:pPr>
      <w:r w:rsidRPr="007C34F3">
        <w:t>萊布尼茲的研究涉及多種知識領域，其目的是尋求一種可以獲得知識的普遍方法。萊布尼茲最重要的數學貢獻是發明微積分，同時預見並認真思索符號邏輯的可能性。哲學上，他也與笛卡兒（</w:t>
      </w:r>
      <w:r w:rsidRPr="007C34F3">
        <w:t>De</w:t>
      </w:r>
      <w:r>
        <w:rPr>
          <w:rFonts w:eastAsia="TT46043o00"/>
        </w:rPr>
        <w:t>scarte</w:t>
      </w:r>
      <w:r>
        <w:rPr>
          <w:rFonts w:hint="eastAsia"/>
        </w:rPr>
        <w:t>）及史賓諾沙（</w:t>
      </w:r>
      <w:r>
        <w:rPr>
          <w:rFonts w:eastAsia="TT46043o00"/>
        </w:rPr>
        <w:t>Spinoza</w:t>
      </w:r>
      <w:r>
        <w:rPr>
          <w:rFonts w:hint="eastAsia"/>
        </w:rPr>
        <w:t>）齊名，並稱歐洲大陸理性主義三哲。</w:t>
      </w:r>
    </w:p>
    <w:p w:rsidR="00214FA1" w:rsidRDefault="00214FA1" w:rsidP="00214FA1">
      <w:pPr>
        <w:pStyle w:val="a5"/>
        <w:ind w:left="444" w:right="444" w:firstLine="444"/>
        <w:rPr>
          <w:rFonts w:hint="eastAsia"/>
        </w:rPr>
      </w:pPr>
      <w:r>
        <w:rPr>
          <w:rFonts w:hint="eastAsia"/>
        </w:rPr>
        <w:t>萊布尼茲從幾何學的角度論述微分法則，得到微分學的一系列基本結果，是較早的微積分文獻。他又於</w:t>
      </w:r>
      <w:r>
        <w:rPr>
          <w:rFonts w:eastAsia="TT46043o00"/>
        </w:rPr>
        <w:t>1686</w:t>
      </w:r>
      <w:r>
        <w:rPr>
          <w:rFonts w:hint="eastAsia"/>
        </w:rPr>
        <w:t>年發表第一篇積分學論文，可以求出原函數。這兩篇文獻均早於牛頓（</w:t>
      </w:r>
      <w:r>
        <w:rPr>
          <w:rFonts w:hint="eastAsia"/>
        </w:rPr>
        <w:t>New ton</w:t>
      </w:r>
      <w:r>
        <w:rPr>
          <w:rFonts w:hint="eastAsia"/>
        </w:rPr>
        <w:t>）首次發表的微積分結果（</w:t>
      </w:r>
      <w:r>
        <w:rPr>
          <w:rFonts w:eastAsia="TT46043o00"/>
        </w:rPr>
        <w:t>1687</w:t>
      </w:r>
      <w:r>
        <w:rPr>
          <w:rFonts w:hint="eastAsia"/>
        </w:rPr>
        <w:t>），但他開始從事研究的時間則晚了近十年，因此數學史上將其二人並列為微積分的創立者。萊布尼茲於</w:t>
      </w:r>
      <w:r>
        <w:rPr>
          <w:rFonts w:eastAsia="TT46043o00"/>
        </w:rPr>
        <w:t>1694</w:t>
      </w:r>
      <w:r>
        <w:rPr>
          <w:rFonts w:hint="eastAsia"/>
        </w:rPr>
        <w:t>年進一步補充了積分結果。</w:t>
      </w:r>
    </w:p>
    <w:p w:rsidR="00214FA1" w:rsidRDefault="00214FA1" w:rsidP="00214FA1">
      <w:pPr>
        <w:pStyle w:val="a5"/>
        <w:ind w:left="444" w:right="444" w:firstLine="444"/>
      </w:pPr>
      <w:r>
        <w:rPr>
          <w:rFonts w:hint="eastAsia"/>
        </w:rPr>
        <w:t>他創設的數學符號非常優良，對微積分的發展有極大影響，直到現在仍在使用。萊布尼茲說他發展微積分的根源就是差分學。微積分與差分間的類推關係是萊布尼茲思想的核心。從他的眼光來看，兩者在本質上是相同的。一方面，差分對付的是離散的有限多個有限數；另一方面，微積分對付的是連續的無窮多個無窮小。因此微積分若少了差分，就好像少了郭靖的金庸劇本一樣。</w:t>
      </w:r>
    </w:p>
    <w:p w:rsidR="00214FA1" w:rsidRPr="00E30A8B" w:rsidRDefault="00214FA1" w:rsidP="00214FA1">
      <w:pPr>
        <w:pStyle w:val="a5"/>
        <w:ind w:left="444" w:right="444" w:firstLine="444"/>
      </w:pPr>
      <w:r w:rsidRPr="00E30A8B">
        <w:rPr>
          <w:rFonts w:hint="eastAsia"/>
        </w:rPr>
        <w:t>萊布尼茲算是數學家中啟蒙較晚的。而且他的興趣極廣，雜事又多，他所有的科學思想，幾乎都是在前半生的行旅生涯中思索出來的。他在法國期間與英國及法國的學術界都有交流，也因此開始思索微積分的問題。雖然</w:t>
      </w:r>
      <w:r w:rsidRPr="00E30A8B">
        <w:t>1665</w:t>
      </w:r>
      <w:r w:rsidRPr="00E30A8B">
        <w:rPr>
          <w:rFonts w:hint="eastAsia"/>
        </w:rPr>
        <w:t>年左右，牛頓即已</w:t>
      </w:r>
      <w:r>
        <w:rPr>
          <w:rFonts w:hint="eastAsia"/>
        </w:rPr>
        <w:t>開始產生</w:t>
      </w:r>
      <w:r w:rsidRPr="00E30A8B">
        <w:rPr>
          <w:rFonts w:hint="eastAsia"/>
        </w:rPr>
        <w:t>微積分的想法，但是由於牛頓祕而不宣，因此萊布尼茲獨立開展自己對微積分的想法，並發展他自己使用的符號。他在</w:t>
      </w:r>
      <w:r w:rsidRPr="00E30A8B">
        <w:t>29</w:t>
      </w:r>
      <w:r w:rsidRPr="00E30A8B">
        <w:rPr>
          <w:rFonts w:hint="eastAsia"/>
        </w:rPr>
        <w:t>歲時便已提出今日所</w:t>
      </w:r>
      <w:r w:rsidRPr="002F358E">
        <w:rPr>
          <w:rFonts w:hint="eastAsia"/>
          <w:spacing w:val="6"/>
        </w:rPr>
        <w:t>謂的</w:t>
      </w:r>
      <w:r w:rsidRPr="002F358E">
        <w:rPr>
          <w:spacing w:val="6"/>
        </w:rPr>
        <w:t>Leibniz</w:t>
      </w:r>
      <w:r w:rsidRPr="002F358E">
        <w:rPr>
          <w:rFonts w:hint="eastAsia"/>
          <w:spacing w:val="6"/>
        </w:rPr>
        <w:t>法則，而且也已經使用常見的積分符號。他曾幾次造訪英國皇家學會，發表他計算機械的想法，也因此透過學會祕書間接與牛頓有淡薄的聯繫，沒想到卻種下日後爭奪微積分發明排名的因緣。</w:t>
      </w:r>
    </w:p>
    <w:p w:rsidR="00214FA1" w:rsidRPr="00E30A8B" w:rsidRDefault="00214FA1" w:rsidP="00214FA1">
      <w:pPr>
        <w:pStyle w:val="a5"/>
        <w:ind w:left="444" w:right="444" w:firstLine="444"/>
      </w:pPr>
      <w:r w:rsidRPr="00E30A8B">
        <w:rPr>
          <w:rFonts w:hint="eastAsia"/>
        </w:rPr>
        <w:t>爾後，牛頓曾經透過學會</w:t>
      </w:r>
      <w:r>
        <w:rPr>
          <w:rFonts w:hint="eastAsia"/>
        </w:rPr>
        <w:t>祕</w:t>
      </w:r>
      <w:r w:rsidRPr="00E30A8B">
        <w:rPr>
          <w:rFonts w:hint="eastAsia"/>
        </w:rPr>
        <w:t>書寫了兩封信給萊布尼茲，第一封信含糊地列出一些結果，但由於未意識到當時歐陸信件遞送延誤的嚴重，牛頓認為萊布尼茲有足夠的時間補上自己的證明，因此他在第二封信指控萊布尼茲剽竊。此後</w:t>
      </w:r>
      <w:r w:rsidRPr="00E30A8B">
        <w:rPr>
          <w:rFonts w:hint="eastAsia"/>
        </w:rPr>
        <w:lastRenderedPageBreak/>
        <w:t>關於微積分發明的優先歸屬之爭，有如星火燎原，變成歐陸與英倫數學家的對決。牛頓甚至在學會主席任內，組成委員會調查此事，並自己起草調查結果，這種「球員兼裁判」的作法，想當然爾地判</w:t>
      </w:r>
      <w:r>
        <w:rPr>
          <w:rFonts w:hint="eastAsia"/>
        </w:rPr>
        <w:t>了</w:t>
      </w:r>
      <w:r w:rsidRPr="00E30A8B">
        <w:rPr>
          <w:rFonts w:hint="eastAsia"/>
        </w:rPr>
        <w:t>對方「死刑」。面對這種</w:t>
      </w:r>
      <w:r>
        <w:rPr>
          <w:rFonts w:hint="eastAsia"/>
        </w:rPr>
        <w:t>誣</w:t>
      </w:r>
      <w:r w:rsidRPr="00E30A8B">
        <w:rPr>
          <w:rFonts w:hint="eastAsia"/>
        </w:rPr>
        <w:t>蔑，弱</w:t>
      </w:r>
      <w:r>
        <w:rPr>
          <w:rFonts w:hint="eastAsia"/>
        </w:rPr>
        <w:t>勢</w:t>
      </w:r>
      <w:r w:rsidRPr="00E30A8B">
        <w:rPr>
          <w:rFonts w:hint="eastAsia"/>
        </w:rPr>
        <w:t>的萊布尼茲也</w:t>
      </w:r>
      <w:r>
        <w:rPr>
          <w:rFonts w:hint="eastAsia"/>
        </w:rPr>
        <w:t>只</w:t>
      </w:r>
      <w:r w:rsidRPr="00E30A8B">
        <w:rPr>
          <w:rFonts w:hint="eastAsia"/>
        </w:rPr>
        <w:t>能無力地用匿名為自己</w:t>
      </w:r>
      <w:r>
        <w:rPr>
          <w:rFonts w:hint="eastAsia"/>
        </w:rPr>
        <w:t>辯</w:t>
      </w:r>
      <w:r w:rsidRPr="00E30A8B">
        <w:rPr>
          <w:rFonts w:hint="eastAsia"/>
        </w:rPr>
        <w:t>護。不過，萊布尼茲不但在出版</w:t>
      </w:r>
      <w:r>
        <w:rPr>
          <w:rFonts w:hint="eastAsia"/>
        </w:rPr>
        <w:t>“</w:t>
      </w:r>
      <w:r w:rsidRPr="00E30A8B">
        <w:rPr>
          <w:rFonts w:hint="eastAsia"/>
        </w:rPr>
        <w:t>Nova Methodus pro Maximis Minimis</w:t>
      </w:r>
      <w:r>
        <w:rPr>
          <w:rFonts w:hint="eastAsia"/>
        </w:rPr>
        <w:t>”</w:t>
      </w:r>
      <w:r w:rsidRPr="00E30A8B">
        <w:rPr>
          <w:rFonts w:hint="eastAsia"/>
        </w:rPr>
        <w:t>（極大與極小的新方法）的時間上（</w:t>
      </w:r>
      <w:r w:rsidRPr="00E30A8B">
        <w:t>1684</w:t>
      </w:r>
      <w:r w:rsidRPr="00E30A8B">
        <w:rPr>
          <w:rFonts w:hint="eastAsia"/>
        </w:rPr>
        <w:t>）勝過牛頓的《原理》（</w:t>
      </w:r>
      <w:r w:rsidRPr="00E30A8B">
        <w:t>1685</w:t>
      </w:r>
      <w:r w:rsidRPr="00E30A8B">
        <w:rPr>
          <w:rFonts w:hint="eastAsia"/>
        </w:rPr>
        <w:t>），而且今天一般的數學史家都已相信微積分是他們兩人各自獨立研究的結果</w:t>
      </w:r>
      <w:r>
        <w:rPr>
          <w:rFonts w:hint="eastAsia"/>
        </w:rPr>
        <w:t>。另外，</w:t>
      </w:r>
      <w:r w:rsidRPr="00E30A8B">
        <w:rPr>
          <w:rFonts w:hint="eastAsia"/>
        </w:rPr>
        <w:t>由於萊布尼茲對「正確」符號的講究、對知識交流又公開，現代的微積分課本上使用的都是萊布尼茲發明的符號；而英國數學的進展則因為閉關自守停滯了百餘年，算是歷史還</w:t>
      </w:r>
      <w:r>
        <w:rPr>
          <w:rFonts w:hint="eastAsia"/>
        </w:rPr>
        <w:t>了</w:t>
      </w:r>
      <w:r w:rsidRPr="00E30A8B">
        <w:rPr>
          <w:rFonts w:hint="eastAsia"/>
        </w:rPr>
        <w:t>萊布尼茲一個公道。</w:t>
      </w:r>
    </w:p>
    <w:p w:rsidR="00214FA1" w:rsidRPr="00E30A8B" w:rsidRDefault="00214FA1" w:rsidP="00214FA1">
      <w:pPr>
        <w:pStyle w:val="a5"/>
        <w:ind w:left="444" w:right="444" w:firstLine="444"/>
      </w:pPr>
      <w:r w:rsidRPr="00E30A8B">
        <w:rPr>
          <w:rFonts w:hint="eastAsia"/>
        </w:rPr>
        <w:t>萊布尼茲依自己的想法拒絕在大學任教，曾短期擔任玫瑰十字會的</w:t>
      </w:r>
      <w:r>
        <w:rPr>
          <w:rFonts w:hint="eastAsia"/>
        </w:rPr>
        <w:t>祕</w:t>
      </w:r>
      <w:r w:rsidRPr="00E30A8B">
        <w:rPr>
          <w:rFonts w:hint="eastAsia"/>
        </w:rPr>
        <w:t>書</w:t>
      </w:r>
      <w:r>
        <w:rPr>
          <w:rFonts w:hint="eastAsia"/>
        </w:rPr>
        <w:t>；</w:t>
      </w:r>
      <w:r w:rsidRPr="00E30A8B">
        <w:rPr>
          <w:rFonts w:hint="eastAsia"/>
        </w:rPr>
        <w:t>這是一個鍊金術團體，那個年代的知識分子多有類似經歷（牛頓也極著迷於鍊金術）。他隨後進入政治圈，為了轉移路易十四在歐洲的作戰方針，到巴黎進行外交工作（他的獻策</w:t>
      </w:r>
      <w:r>
        <w:rPr>
          <w:rFonts w:hint="eastAsia"/>
        </w:rPr>
        <w:t>在</w:t>
      </w:r>
      <w:r w:rsidRPr="00E30A8B">
        <w:rPr>
          <w:rFonts w:hint="eastAsia"/>
        </w:rPr>
        <w:t>一百多年後落實為拿破崙的出兵埃及）。</w:t>
      </w:r>
      <w:r w:rsidRPr="00E30A8B">
        <w:t>1676</w:t>
      </w:r>
      <w:r w:rsidRPr="00E30A8B">
        <w:rPr>
          <w:rFonts w:hint="eastAsia"/>
        </w:rPr>
        <w:t>年，</w:t>
      </w:r>
      <w:r w:rsidRPr="00E30A8B">
        <w:t>30</w:t>
      </w:r>
      <w:r w:rsidRPr="00E30A8B">
        <w:rPr>
          <w:rFonts w:hint="eastAsia"/>
        </w:rPr>
        <w:t>歲的他離開法國，回國任漢諾威選帝候的家臣兼圖書館長，此後</w:t>
      </w:r>
      <w:r>
        <w:rPr>
          <w:rFonts w:hint="eastAsia"/>
        </w:rPr>
        <w:t>40</w:t>
      </w:r>
      <w:r w:rsidRPr="00E30A8B">
        <w:rPr>
          <w:rFonts w:hint="eastAsia"/>
        </w:rPr>
        <w:t>年，他終生待在漢諾威，做一些浪費他天</w:t>
      </w:r>
      <w:r>
        <w:rPr>
          <w:rFonts w:hint="eastAsia"/>
        </w:rPr>
        <w:t>分</w:t>
      </w:r>
      <w:r w:rsidRPr="00E30A8B">
        <w:rPr>
          <w:rFonts w:hint="eastAsia"/>
        </w:rPr>
        <w:t>的工作。萊布尼茲堪稱晚景淒涼，死時連個送葬的人也沒有。</w:t>
      </w:r>
    </w:p>
    <w:p w:rsidR="00214FA1" w:rsidRPr="00E30A8B" w:rsidRDefault="00214FA1" w:rsidP="00214FA1">
      <w:pPr>
        <w:pStyle w:val="a5"/>
        <w:ind w:left="444" w:right="444" w:firstLine="444"/>
      </w:pPr>
      <w:r w:rsidRPr="00E30A8B">
        <w:rPr>
          <w:rFonts w:hint="eastAsia"/>
        </w:rPr>
        <w:t>另外值得一提的是，萊布尼茲說服德皇，於</w:t>
      </w:r>
      <w:r w:rsidRPr="00E30A8B">
        <w:t>1700</w:t>
      </w:r>
      <w:r w:rsidRPr="00E30A8B">
        <w:rPr>
          <w:rFonts w:hint="eastAsia"/>
        </w:rPr>
        <w:t>年成立</w:t>
      </w:r>
      <w:r w:rsidRPr="00E30A8B">
        <w:t>Brandenburg</w:t>
      </w:r>
      <w:r w:rsidRPr="00E30A8B">
        <w:rPr>
          <w:rFonts w:hint="eastAsia"/>
        </w:rPr>
        <w:t>科學院（也就是之後的柏林科學院），並努力促成聖彼得堡與維也納科學院的科學交流，貫徹他知識應該獲得充分交流的理念，這也是他在歷史上對學術社群交流的重大貢獻。</w:t>
      </w:r>
    </w:p>
    <w:p w:rsidR="00214FA1" w:rsidRDefault="00214FA1" w:rsidP="00214FA1">
      <w:pPr>
        <w:pStyle w:val="a3"/>
        <w:spacing w:before="24"/>
        <w:ind w:leftChars="200" w:left="1254" w:rightChars="200" w:right="444" w:hanging="810"/>
        <w:rPr>
          <w:rFonts w:hint="eastAsia"/>
        </w:rPr>
      </w:pPr>
    </w:p>
    <w:p w:rsidR="00214FA1" w:rsidRPr="00214FA1" w:rsidRDefault="00214FA1" w:rsidP="00214FA1">
      <w:pPr>
        <w:pStyle w:val="a3"/>
        <w:spacing w:before="24"/>
        <w:ind w:leftChars="200" w:left="1454" w:rightChars="200" w:right="444" w:hanging="1010"/>
        <w:rPr>
          <w:kern w:val="0"/>
          <w:sz w:val="20"/>
          <w:szCs w:val="20"/>
        </w:rPr>
      </w:pPr>
      <w:r w:rsidRPr="00214FA1">
        <w:rPr>
          <w:rFonts w:hint="eastAsia"/>
          <w:sz w:val="20"/>
          <w:szCs w:val="20"/>
        </w:rPr>
        <w:t>資料來源：</w:t>
      </w:r>
      <w:r w:rsidRPr="00214FA1">
        <w:rPr>
          <w:kern w:val="0"/>
          <w:sz w:val="20"/>
          <w:szCs w:val="20"/>
        </w:rPr>
        <w:t>http://episte.math.ntu.edu.tw/people/p_leibniz/index.html</w:t>
      </w:r>
    </w:p>
    <w:p w:rsidR="00214FA1" w:rsidRPr="00214FA1" w:rsidRDefault="00214FA1" w:rsidP="00214FA1">
      <w:pPr>
        <w:pStyle w:val="a3"/>
        <w:spacing w:before="24"/>
        <w:ind w:leftChars="200" w:left="1454" w:rightChars="200" w:right="444" w:hanging="1010"/>
        <w:rPr>
          <w:rFonts w:hint="eastAsia"/>
          <w:kern w:val="0"/>
          <w:sz w:val="20"/>
          <w:szCs w:val="20"/>
        </w:rPr>
      </w:pPr>
      <w:r w:rsidRPr="00214FA1">
        <w:rPr>
          <w:rFonts w:hint="eastAsia"/>
          <w:kern w:val="0"/>
          <w:sz w:val="20"/>
          <w:szCs w:val="20"/>
        </w:rPr>
        <w:tab/>
      </w:r>
      <w:r w:rsidRPr="00214FA1">
        <w:rPr>
          <w:kern w:val="0"/>
          <w:sz w:val="20"/>
          <w:szCs w:val="20"/>
        </w:rPr>
        <w:t>http://episte.math.ntu.edu.tw/entries/en_newton_leibniz/Kline, M. (1972) Mathematical Thoughts from Ancient to Modern Times. Cambridge: Oxford University Press.</w:t>
      </w:r>
    </w:p>
    <w:p w:rsidR="0089144B" w:rsidRPr="00214FA1" w:rsidRDefault="0089144B">
      <w:pPr>
        <w:ind w:firstLine="404"/>
        <w:rPr>
          <w:sz w:val="20"/>
          <w:szCs w:val="20"/>
        </w:rPr>
      </w:pPr>
    </w:p>
    <w:sectPr w:rsidR="0089144B" w:rsidRPr="00214F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細明體">
    <w:altName w:val="微軟正黑體 Light"/>
    <w:charset w:val="88"/>
    <w:family w:val="modern"/>
    <w:pitch w:val="fixed"/>
    <w:sig w:usb0="00000000" w:usb1="28091800" w:usb2="00000016" w:usb3="00000000" w:csb0="00100000" w:csb1="00000000"/>
  </w:font>
  <w:font w:name="華康細黑體">
    <w:altName w:val="微軟正黑體 Light"/>
    <w:charset w:val="88"/>
    <w:family w:val="modern"/>
    <w:pitch w:val="fixed"/>
    <w:sig w:usb0="00000000" w:usb1="28091800" w:usb2="00000016" w:usb3="00000000" w:csb0="00100000" w:csb1="00000000"/>
  </w:font>
  <w:font w:name="華康中黑體">
    <w:altName w:val="Arial Unicode MS"/>
    <w:charset w:val="88"/>
    <w:family w:val="modern"/>
    <w:pitch w:val="fixed"/>
    <w:sig w:usb0="00000000" w:usb1="28091800" w:usb2="00000016" w:usb3="00000000" w:csb0="00100000" w:csb1="00000000"/>
  </w:font>
  <w:font w:name="華康粗黑體">
    <w:altName w:val="Arial Unicode MS"/>
    <w:charset w:val="88"/>
    <w:family w:val="modern"/>
    <w:pitch w:val="fixed"/>
    <w:sig w:usb0="00000000" w:usb1="28091800" w:usb2="00000016" w:usb3="00000000" w:csb0="00100000" w:csb1="00000000"/>
  </w:font>
  <w:font w:name="TT46043o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FA1"/>
    <w:rsid w:val="00214FA1"/>
    <w:rsid w:val="008914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F5CEB"/>
  <w15:chartTrackingRefBased/>
  <w15:docId w15:val="{88C0E4CE-49E6-4FEE-9FD8-77640370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FA1"/>
    <w:pPr>
      <w:widowControl w:val="0"/>
      <w:adjustRightInd w:val="0"/>
      <w:snapToGrid w:val="0"/>
      <w:spacing w:after="0" w:line="440" w:lineRule="atLeast"/>
      <w:ind w:firstLineChars="200" w:firstLine="200"/>
      <w:jc w:val="both"/>
    </w:pPr>
    <w:rPr>
      <w:rFonts w:ascii="Times New Roman" w:eastAsia="華康細明體" w:hAnsi="Times New Roman" w:cs="Times New Roman"/>
      <w:spacing w:val="2"/>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資料來源"/>
    <w:basedOn w:val="a"/>
    <w:rsid w:val="00214FA1"/>
    <w:pPr>
      <w:tabs>
        <w:tab w:val="right" w:pos="7800"/>
      </w:tabs>
      <w:spacing w:beforeLines="10" w:before="10" w:line="240" w:lineRule="atLeast"/>
      <w:ind w:left="500" w:hangingChars="500" w:hanging="500"/>
    </w:pPr>
    <w:rPr>
      <w:rFonts w:eastAsia="華康細黑體"/>
      <w:sz w:val="16"/>
    </w:rPr>
  </w:style>
  <w:style w:type="paragraph" w:customStyle="1" w:styleId="a4">
    <w:name w:val="！圖說"/>
    <w:basedOn w:val="a"/>
    <w:rsid w:val="00214FA1"/>
    <w:pPr>
      <w:spacing w:afterLines="100" w:after="100" w:line="240" w:lineRule="auto"/>
      <w:ind w:firstLineChars="0" w:firstLine="0"/>
      <w:jc w:val="center"/>
      <w:textAlignment w:val="center"/>
    </w:pPr>
    <w:rPr>
      <w:rFonts w:eastAsia="華康中黑體"/>
      <w:spacing w:val="4"/>
      <w:kern w:val="0"/>
      <w:sz w:val="21"/>
      <w:szCs w:val="21"/>
    </w:rPr>
  </w:style>
  <w:style w:type="paragraph" w:customStyle="1" w:styleId="a5">
    <w:name w:val="小傳"/>
    <w:basedOn w:val="a"/>
    <w:link w:val="a6"/>
    <w:rsid w:val="00214FA1"/>
    <w:pPr>
      <w:ind w:leftChars="200" w:left="200" w:rightChars="200" w:right="200"/>
    </w:pPr>
    <w:rPr>
      <w:rFonts w:eastAsia="華康細黑體"/>
      <w:kern w:val="0"/>
    </w:rPr>
  </w:style>
  <w:style w:type="character" w:customStyle="1" w:styleId="a6">
    <w:name w:val="小傳 字元"/>
    <w:link w:val="a5"/>
    <w:rsid w:val="00214FA1"/>
    <w:rPr>
      <w:rFonts w:ascii="Times New Roman" w:eastAsia="華康細黑體" w:hAnsi="Times New Roman" w:cs="Times New Roman"/>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268</Words>
  <Characters>1528</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Tsungwu Ho</dc:creator>
  <cp:keywords/>
  <dc:description/>
  <cp:lastModifiedBy>Tsungwu Ho</cp:lastModifiedBy>
  <cp:revision>1</cp:revision>
  <dcterms:created xsi:type="dcterms:W3CDTF">2019-01-20T01:59:00Z</dcterms:created>
  <dcterms:modified xsi:type="dcterms:W3CDTF">2019-01-20T02:01:00Z</dcterms:modified>
</cp:coreProperties>
</file>